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-附件-</w:t>
      </w:r>
    </w:p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（一）-86℃超低温冰箱相关要求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8"/>
        <w:tblW w:w="10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关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一、功能描述：保存病毒、病菌、红细胞、白细胞、皮肤、骨骼、精液、生物制品、远洋制品、电子器件、特殊材料的低温试验等，适用于疾控中心实验室等。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二、技术要求及配置：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2.1、工作条件：环境温度10～32℃，电源220V/50Hz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2.2、样式：立式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2.3、有效容积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、温度控制：微电脑控制，温度数字显示,箱内温度-40℃~-86℃可调，超温报警，断电记忆；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、安全系统：故障报警（高低温报警、传感器故障报警、门开报警、冷凝器脏报警、电池电量低报警）；保护功能（开机延时保护可设定时间、显示面板密码锁功能）；所有部件独立接地；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、显示：LED显示屏，可显示箱内温度，设定温度，环境温度，输入电压。能设定高低温报警和箱内温度，具有故障提示预警功能。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、采用HC制冷系统，节能环保，需明确所使用制冷剂的名称及装入量，且可燃制冷剂灌注量符合国家安全标准,灌注量不能高于150g。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、可选配网络接口，选配同品牌智能温度记录仪、冷链安全监控系统，全程监控并记录冷链设备运行状态，并短信报警。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、25℃环温时，降温速度≤5小时，国家第三方权威结构认证单日耗电量小于8.0KW.h/24h，并通过了国家电子电器安全质量监督检验中心检验，同时产品获得国家的节能认证和环保认证。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、整机温度均匀性号，箱内每层5点（四角及中心），整机多于20点测试，最高温度与最低温度的差≤±4℃，确保存储的样本温度均匀。并通过了国家电子电器安全质量监督检验中心的检验。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66" w:type="dxa"/>
            <w:noWrap w:val="0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2.11.需要附带-80℃检定证书</w:t>
            </w:r>
          </w:p>
        </w:tc>
      </w:tr>
    </w:tbl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</w:p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（二）2-8℃冰箱相关要求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8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关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一、功能描述：保存疫苗，适用于疾控中心实验室等。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二、技术要求及配置：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1.有效容积：2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0L±5%；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样式：立式，底部带移动脚轮以及脚刹，方便移动与固定，箱体底部带有调节用平脚角，方便固定；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3.箱体材料：内外部均采用喷涂钢板工艺，既保证产品质量又较美观；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4.温度控制范围：2~8℃，数字式温度控制器，精度为0.1℃；具备温度设定、显示、报警、运行状态指示等功能；</w:t>
            </w:r>
          </w:p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5.具有完善的报警系统，声音蜂鸣及灯光闪烁报警功能；多重保护功能（密码保护、频繁启动保护）；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6.具备高温报警、低温报警、传感器故障报警、断电报警（支持8小时或以上）、门开报警等功能；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2.7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采用翅片蒸发器，纯风冷结构设计，冰箱内部背部有专用风道板（需有彩页或图片体现），确保箱内无霜无凝露，有效防止背部局部温度过低；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2.8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制冷系统：冷藏箱内风机吸风后，通过翅片式蒸发器制冷后从背部风道送出，形成箱内风循环系统（需有彩页或图片体现）。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2.9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冷凝器置于冰箱机舱内部；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2.10双层透明热反射膜玻璃门设计，有效防止凝露；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2.11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安全内门锁设计，防止开关门异常，美观大方；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2.12标配测试孔；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2.13内设照明灯，使箱体内部一目了然；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2.14压缩机：采用高效全封闭压缩机，节能静音，无氟环保制冷剂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2.15资格凭证：医疗器械生产许可证；医疗器械注册证；具备ISO9001质量管理体系认证；ISO13485医疗器械质量管理体系认证；ISO14001环境管理体系认证；ISO45001职业健康安全管理体系认证。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98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三、其他：附带检定证书/校准证书，证书包含3℃,4℃,5℃,6℃,7℃，共5个温度点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</w:p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</w:p>
    <w:p>
      <w:pPr>
        <w:jc w:val="center"/>
        <w:outlineLvl w:val="0"/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44"/>
          <w:szCs w:val="44"/>
          <w:lang w:val="en-US" w:eastAsia="zh-CN"/>
        </w:rPr>
        <w:t>（三）联网报警温度探头相关要求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*1.LED彩色显示屏尺寸，同时具备数据采集和上传一体机，单探头设计；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*2.采集温度范围：-196℃～+100℃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3.测温精度：±0.1℃（-50℃～+50℃范围）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4.云平台上数频率：采集频率1分钟/次，上传频率10分钟/次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*5.断电提醒功能：具备48小时断电报警功能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6.功能：使用传感器采集监控对象温度数据。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7.把温度数据和位置信息转化成无线信号直接传输给云平台，进行云储存，可长期储存。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8.通过屏显示当前采集的实时温湿度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*9.支持断线续传功能，保证监控数据的完整性。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*10．应有多种报警方式，必须满足电话报警功能。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*11.具有软件著作权证书。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12.质保：整机免费保修一年，平台终身免费维护升级。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13.测温范围涵盖-86℃，温度记录间隔≤5分钟且可导出，可导出数据excel或PDF格式；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14. 资格凭证：医疗器械医疗生产企业许可证；ISO9001质量管理体系认证；IS013485医疗器械质量管理体系认证；ISO14001环境管理体系认证；</w:t>
      </w:r>
    </w:p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*15需要附带检定证书（4℃ 、-20℃、-30℃、-70℃、-80℃）。</w:t>
      </w:r>
    </w:p>
    <w:sectPr>
      <w:pgSz w:w="11906" w:h="16838"/>
      <w:pgMar w:top="1701" w:right="1361" w:bottom="113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xOWRjOTJhNjMwYTkyMzdhM2FkM2U2MjI0MzM2MTEifQ=="/>
  </w:docVars>
  <w:rsids>
    <w:rsidRoot w:val="79DD19A2"/>
    <w:rsid w:val="000D6CA0"/>
    <w:rsid w:val="00117225"/>
    <w:rsid w:val="00244BC2"/>
    <w:rsid w:val="0027564F"/>
    <w:rsid w:val="00304F62"/>
    <w:rsid w:val="003B13B3"/>
    <w:rsid w:val="003B1885"/>
    <w:rsid w:val="003C2728"/>
    <w:rsid w:val="004962CE"/>
    <w:rsid w:val="00596AA4"/>
    <w:rsid w:val="005C7F5B"/>
    <w:rsid w:val="005D4F14"/>
    <w:rsid w:val="007A3E39"/>
    <w:rsid w:val="0090009D"/>
    <w:rsid w:val="009152CF"/>
    <w:rsid w:val="009767C8"/>
    <w:rsid w:val="009B107A"/>
    <w:rsid w:val="009C3B6F"/>
    <w:rsid w:val="00A3009B"/>
    <w:rsid w:val="00A508D0"/>
    <w:rsid w:val="00A54BBC"/>
    <w:rsid w:val="00A66D2E"/>
    <w:rsid w:val="00B7765D"/>
    <w:rsid w:val="00B908B4"/>
    <w:rsid w:val="00BC12BD"/>
    <w:rsid w:val="00BF4DB9"/>
    <w:rsid w:val="00C9431B"/>
    <w:rsid w:val="00CF6094"/>
    <w:rsid w:val="00D272D4"/>
    <w:rsid w:val="00DA5298"/>
    <w:rsid w:val="00E95C49"/>
    <w:rsid w:val="00EB3617"/>
    <w:rsid w:val="00ED3977"/>
    <w:rsid w:val="04241F70"/>
    <w:rsid w:val="05F679E5"/>
    <w:rsid w:val="064C1FC9"/>
    <w:rsid w:val="090C16DB"/>
    <w:rsid w:val="0A972F77"/>
    <w:rsid w:val="11D877EB"/>
    <w:rsid w:val="12EB4B56"/>
    <w:rsid w:val="13555FCB"/>
    <w:rsid w:val="25B20DC9"/>
    <w:rsid w:val="2A6B0377"/>
    <w:rsid w:val="2D4622BA"/>
    <w:rsid w:val="2F882C94"/>
    <w:rsid w:val="2FFE381B"/>
    <w:rsid w:val="3021753F"/>
    <w:rsid w:val="30935C32"/>
    <w:rsid w:val="328E5E64"/>
    <w:rsid w:val="329B1D2B"/>
    <w:rsid w:val="33A424A3"/>
    <w:rsid w:val="33AD50D1"/>
    <w:rsid w:val="37060DBD"/>
    <w:rsid w:val="37205FF6"/>
    <w:rsid w:val="3B2C53AD"/>
    <w:rsid w:val="3DF268E4"/>
    <w:rsid w:val="419E6D5C"/>
    <w:rsid w:val="46F277DA"/>
    <w:rsid w:val="47414D3C"/>
    <w:rsid w:val="47E70A81"/>
    <w:rsid w:val="48983CEE"/>
    <w:rsid w:val="4CD72D9E"/>
    <w:rsid w:val="4DF8593D"/>
    <w:rsid w:val="50A04DC0"/>
    <w:rsid w:val="52C844B5"/>
    <w:rsid w:val="534E76DD"/>
    <w:rsid w:val="549327A6"/>
    <w:rsid w:val="5C6F54C7"/>
    <w:rsid w:val="63F5376B"/>
    <w:rsid w:val="67446F75"/>
    <w:rsid w:val="68F72DB9"/>
    <w:rsid w:val="6AB94DBB"/>
    <w:rsid w:val="6D33448A"/>
    <w:rsid w:val="6EC6046E"/>
    <w:rsid w:val="6F0E4662"/>
    <w:rsid w:val="71131C78"/>
    <w:rsid w:val="7138667D"/>
    <w:rsid w:val="74BC0A5B"/>
    <w:rsid w:val="79DD19A2"/>
    <w:rsid w:val="7AC86C16"/>
    <w:rsid w:val="7B2D76B4"/>
    <w:rsid w:val="7FDC6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rFonts w:ascii="Calibri" w:hAnsi="Calibri" w:eastAsia="仿宋_GB2312" w:cs="Times New Roman"/>
      <w:sz w:val="28"/>
      <w:szCs w:val="22"/>
    </w:rPr>
  </w:style>
  <w:style w:type="paragraph" w:styleId="4">
    <w:name w:val="Plain Text"/>
    <w:basedOn w:val="1"/>
    <w:qFormat/>
    <w:uiPriority w:val="0"/>
    <w:pPr>
      <w:widowControl/>
      <w:jc w:val="left"/>
    </w:pPr>
    <w:rPr>
      <w:rFonts w:ascii="宋体" w:hAnsi="Courier New" w:cs="宋体"/>
      <w:sz w:val="24"/>
      <w:szCs w:val="24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4</Pages>
  <Words>1681</Words>
  <Characters>1913</Characters>
  <Lines>7</Lines>
  <Paragraphs>2</Paragraphs>
  <TotalTime>21</TotalTime>
  <ScaleCrop>false</ScaleCrop>
  <LinksUpToDate>false</LinksUpToDate>
  <CharactersWithSpaces>1923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2023-05-09T10:17:00Z</dcterms:created>
  <dc:creator>admin</dc:creator>
  <cp:lastModifiedBy>WPS_1561527329</cp:lastModifiedBy>
  <dcterms:modified xsi:type="dcterms:W3CDTF">2023-10-11T07:01:10Z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6376279871754006A8665B06EB523309</vt:lpwstr>
  </property>
</Properties>
</file>